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昆明官渡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沪农商村镇银行股份有限公司20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年半年度资本充足率信息披露报告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本报告根据《商业银行资本管理办法》（国家金融监督管理总局令2023年第4号）等相关规定编制并披露。2025年上半年度资本充足信息披露如下：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关键审慎监管指标</w:t>
      </w:r>
    </w:p>
    <w:tbl>
      <w:tblPr>
        <w:tblStyle w:val="4"/>
        <w:tblW w:w="85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458"/>
        <w:gridCol w:w="2319"/>
        <w:gridCol w:w="2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单位：人民币万元、%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2025年6月30日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可用资本（数额）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核心一级资本净额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4432.27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4114.45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资本净额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4883.30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4890.37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风险加权资产（数额）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信用风险加权资产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13148.53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12939.33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操作风险加权资产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1700.60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1700.60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风险加权资产合计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14849.13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14639.93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核心一级资本充足率（%）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29.85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资本充足率（%）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32.89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调整后表内外资产余额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27217.62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222.97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  <w:r>
              <w:rPr>
                <w:rStyle w:val="6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16.28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杠杆率a</w:t>
            </w:r>
            <w:r>
              <w:rPr>
                <w:rStyle w:val="6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16.28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流动性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优质流动性资产充足率（%）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20.25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流动性比例（%）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92.98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流动性匹配率（%）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114.89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123.42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default" w:eastAsiaTheme="minorEastAsia"/>
        <w:i/>
        <w:iCs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C01BE"/>
    <w:rsid w:val="13D6772F"/>
    <w:rsid w:val="1A150658"/>
    <w:rsid w:val="1D8E5E17"/>
    <w:rsid w:val="24B3175E"/>
    <w:rsid w:val="279C6C4C"/>
    <w:rsid w:val="288F0FE5"/>
    <w:rsid w:val="2B663073"/>
    <w:rsid w:val="2CA67656"/>
    <w:rsid w:val="3AFB0DD9"/>
    <w:rsid w:val="420B536C"/>
    <w:rsid w:val="4C3B3EBB"/>
    <w:rsid w:val="622277F9"/>
    <w:rsid w:val="6B643F3B"/>
    <w:rsid w:val="70B00576"/>
    <w:rsid w:val="72E25364"/>
    <w:rsid w:val="7A53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2023-11-24T11:32:00Z</dcterms:created>
  <dc:creator>shrcb</dc:creator>
  <cp:lastModifiedBy>李 婵 娟</cp:lastModifiedBy>
  <dcterms:modified xsi:type="dcterms:W3CDTF">2025-08-14T02:38:41Z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C5FB80E266C74BF8B3F9C7A241810F48</vt:lpwstr>
  </property>
</Properties>
</file>